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D553"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广德市中医院医共体双向转诊疾病目录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“白名单”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制度</w:t>
      </w:r>
    </w:p>
    <w:p w14:paraId="67AC2B21">
      <w:p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一、双向转诊“白名单”制定原则</w:t>
      </w:r>
    </w:p>
    <w:p w14:paraId="420EE0AE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科学分级：根据疾病复杂程度、基层诊疗能力、患者安全需求划分转诊范围。</w:t>
      </w:r>
    </w:p>
    <w:p w14:paraId="6A6EF023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动态调整：结合县域疾病谱变化和基层能力提升，定期更新清单。</w:t>
      </w:r>
    </w:p>
    <w:p w14:paraId="0FB9EFAA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患者知情：保障患者及家属对转诊必要性和流程的知情权。</w:t>
      </w:r>
    </w:p>
    <w:p w14:paraId="4E823C95">
      <w:p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二、上转“白名单”（基层医疗机构→牵头医院）</w:t>
      </w:r>
    </w:p>
    <w:p w14:paraId="71F970CC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（一）急危重症与复杂疾病</w:t>
      </w:r>
    </w:p>
    <w:p w14:paraId="39E510D8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心血管疾病：急性心肌梗死、不稳定型心绞痛、严重心律失常（如室颤）。</w:t>
      </w:r>
    </w:p>
    <w:p w14:paraId="42D043AC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脑血管疾病：急性脑梗死（需溶栓/取栓）、脑出血（需手术清除血肿）。</w:t>
      </w:r>
    </w:p>
    <w:p w14:paraId="1C5C7C06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创伤：复合伤、开放性骨折伴血管损伤、颅脑损伤（GCS评分≤12分）。</w:t>
      </w:r>
    </w:p>
    <w:p w14:paraId="4289D34D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外科急症：急性阑尾炎穿孔、肠梗阻伴休克、重症胰腺炎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等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。</w:t>
      </w:r>
    </w:p>
    <w:p w14:paraId="666BAAB9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（二）疑难及专科疾病</w:t>
      </w:r>
    </w:p>
    <w:p w14:paraId="786C6D8F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肿瘤初诊：疑似恶性肿瘤需病理确诊或制定综合治疗方案。</w:t>
      </w:r>
    </w:p>
    <w:p w14:paraId="47665D2D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内分泌急症：糖尿病酮症酸中毒、高渗高血糖状态。</w:t>
      </w:r>
    </w:p>
    <w:p w14:paraId="2189CB83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儿科重症：新生儿窒息、重症肺炎（需呼吸支持）、不明原因惊厥。</w:t>
      </w:r>
    </w:p>
    <w:p w14:paraId="6D81162F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（三）特殊检查/治疗需求</w:t>
      </w:r>
    </w:p>
    <w:p w14:paraId="61DDFFD6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影像检查：需增强CT/MRI等高级影像学检查。</w:t>
      </w:r>
    </w:p>
    <w:p w14:paraId="57F74CEA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手术需求：腹腔镜/微创手术、关节置换、眼科白内障超声乳化等。</w:t>
      </w:r>
    </w:p>
    <w:p w14:paraId="7E19261C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（四）其它基层医疗机构处理不了的疾病。</w:t>
      </w:r>
    </w:p>
    <w:p w14:paraId="48F9B950">
      <w:p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三、下转“白名单”（牵头医院→基层医疗机构）</w:t>
      </w:r>
    </w:p>
    <w:p w14:paraId="00BDD523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（一）病情稳定期患者</w:t>
      </w:r>
    </w:p>
    <w:p w14:paraId="1C60E61C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慢性病管理：高血压、糖尿病、慢阻肺（COPD）稳定期。</w:t>
      </w:r>
    </w:p>
    <w:p w14:paraId="664FBB2A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术后康复：骨折内固定术后、关节置换术后康复训练。</w:t>
      </w:r>
    </w:p>
    <w:p w14:paraId="1D6AC08B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肿瘤维持治疗：化疗间歇期、靶向治疗长期随访。</w:t>
      </w:r>
    </w:p>
    <w:p w14:paraId="583EF087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（二）基层可承接的诊疗服务</w:t>
      </w:r>
    </w:p>
    <w:p w14:paraId="6516077E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常规护理：压疮护理、PICC维护、造口护理。</w:t>
      </w:r>
    </w:p>
    <w:p w14:paraId="13AA1788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中医理疗：针灸、推拿、慢性疼痛康复。</w:t>
      </w:r>
    </w:p>
    <w:p w14:paraId="5CFBBE76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长期监测：妊娠期糖尿病血糖监测、慢性肾病定期复查。</w:t>
      </w:r>
    </w:p>
    <w:p w14:paraId="693B7338">
      <w:p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四、转诊流程与标准</w:t>
      </w:r>
    </w:p>
    <w:p w14:paraId="5A07379D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（一）上转流程（乡镇→县级）</w:t>
      </w:r>
    </w:p>
    <w:p w14:paraId="35295DBF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启动条件：符合上转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“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白名单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”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疾病或超出乡镇处理能力。</w:t>
      </w:r>
    </w:p>
    <w:p w14:paraId="6FA19098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操作步骤：</w:t>
      </w:r>
    </w:p>
    <w:p w14:paraId="38209586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乡镇医生填写电子转诊单（含初步诊断、治疗记录、检验结果）；</w:t>
      </w:r>
    </w:p>
    <w:p w14:paraId="62DA799D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通过医共体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标化绩效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平台预约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级门诊或住院床位；</w:t>
      </w:r>
    </w:p>
    <w:p w14:paraId="75A33F52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危急患者启动“绿色通道”，边转运边通知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牵头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医院。</w:t>
      </w:r>
    </w:p>
    <w:p w14:paraId="6151254B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时间要求：非急症患者24小时内完成转诊，急症患者1小时内启动。</w:t>
      </w:r>
    </w:p>
    <w:p w14:paraId="21548887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（二）下转流程（县级→乡镇）</w:t>
      </w:r>
    </w:p>
    <w:p w14:paraId="0A405F25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启动条件：患者病情稳定、需长期康复或随访管理。</w:t>
      </w:r>
    </w:p>
    <w:p w14:paraId="6533B87F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操作步骤：</w:t>
      </w:r>
    </w:p>
    <w:p w14:paraId="53EEBB09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牵头医院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医生制定下转治疗方案（含用药、康复计划）；</w:t>
      </w:r>
    </w:p>
    <w:p w14:paraId="4D357510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通过信息系统同步病历至乡镇卫生院；</w:t>
      </w:r>
    </w:p>
    <w:p w14:paraId="5C650877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乡镇医生接收后48小时内随访，纳入家庭医生签约服务。</w:t>
      </w:r>
    </w:p>
    <w:p w14:paraId="6571B3DF">
      <w:p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五、配套保障措施</w:t>
      </w:r>
    </w:p>
    <w:p w14:paraId="4EFEC92F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1、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信息化支持：</w:t>
      </w:r>
    </w:p>
    <w:p w14:paraId="78CB5E65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实现病历、影像、检验数据共享；</w:t>
      </w:r>
    </w:p>
    <w:p w14:paraId="54E24B89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开通远程会诊系统，减少非必要上转。</w:t>
      </w:r>
    </w:p>
    <w:p w14:paraId="3E8222C1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2、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能力提升：</w:t>
      </w:r>
    </w:p>
    <w:p w14:paraId="3589FF64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牵头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级医院定期派驻专家到乡镇坐诊、培训；</w:t>
      </w:r>
    </w:p>
    <w:p w14:paraId="46DAA3E2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乡镇医生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按计划到上级医院培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训（如慢病管理、急诊处置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、中医适宜技术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）。</w:t>
      </w:r>
    </w:p>
    <w:p w14:paraId="385BA768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3、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质量控制：</w:t>
      </w:r>
    </w:p>
    <w:p w14:paraId="2A7A71B2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监测转诊合理性（如误转率、重复检查率）；</w:t>
      </w:r>
    </w:p>
    <w:p w14:paraId="2D21F9AB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对未按白名单转诊的案例进行溯源整改。</w:t>
      </w:r>
    </w:p>
    <w:p w14:paraId="4AC638AF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4、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绩效激励：</w:t>
      </w:r>
    </w:p>
    <w:p w14:paraId="4B0AEFF2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将双向转诊执行率纳入医疗机构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标化绩效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考核；</w:t>
      </w:r>
    </w:p>
    <w:p w14:paraId="10057FD8">
      <w:pPr>
        <w:spacing w:line="64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对规范下转患者的县级医生给予绩效奖励。</w:t>
      </w:r>
    </w:p>
    <w:p w14:paraId="41B3F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14780"/>
    <w:rsid w:val="12ED6BED"/>
    <w:rsid w:val="1ADB58F3"/>
    <w:rsid w:val="1DC93A10"/>
    <w:rsid w:val="279063A2"/>
    <w:rsid w:val="2D241DD6"/>
    <w:rsid w:val="33D576CA"/>
    <w:rsid w:val="3A614780"/>
    <w:rsid w:val="3B356BB3"/>
    <w:rsid w:val="3CBB1452"/>
    <w:rsid w:val="5E6F5943"/>
    <w:rsid w:val="7424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1101</Words>
  <Characters>1117</Characters>
  <Lines>0</Lines>
  <Paragraphs>0</Paragraphs>
  <TotalTime>11</TotalTime>
  <ScaleCrop>false</ScaleCrop>
  <LinksUpToDate>false</LinksUpToDate>
  <CharactersWithSpaces>1117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2025-05-19T02:17:00Z</dcterms:created>
  <dc:creator>lenovo</dc:creator>
  <cp:lastModifiedBy>Happy张黛西</cp:lastModifiedBy>
  <dcterms:modified xsi:type="dcterms:W3CDTF">2025-11-18T01:46:44Z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1FA551D462BB4952A03471AE67E14698_13</vt:lpwstr>
  </property>
  <property fmtid="{D5CDD505-2E9C-101B-9397-08002B2CF9AE}" pid="4" name="KSOTemplateDocerSaveRecord">
    <vt:lpwstr>eyJoZGlkIjoiNDI4MGU2ZGViODA4YjYzNDQxM2VkOWZjMDQyNTI1NjgifQ==</vt:lpwstr>
  </property>
</Properties>
</file>